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965E">
      <w:pPr>
        <w:spacing w:before="170" w:line="179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8"/>
        <w:tblpPr w:leftFromText="180" w:rightFromText="180" w:vertAnchor="text" w:horzAnchor="page" w:tblpX="806" w:tblpY="523"/>
        <w:tblOverlap w:val="never"/>
        <w:tblW w:w="1035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09BE41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  <w:vAlign w:val="top"/>
          </w:tcPr>
          <w:p w14:paraId="6A42BD8B">
            <w:pPr>
              <w:pStyle w:val="7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top"/>
          </w:tcPr>
          <w:p w14:paraId="645C7437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江边戏水出意外  志愿者一分钟救回两条命</w:t>
            </w:r>
          </w:p>
        </w:tc>
        <w:tc>
          <w:tcPr>
            <w:tcW w:w="1684" w:type="dxa"/>
            <w:gridSpan w:val="2"/>
            <w:vAlign w:val="top"/>
          </w:tcPr>
          <w:p w14:paraId="16681276">
            <w:pPr>
              <w:pStyle w:val="7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center"/>
          </w:tcPr>
          <w:p w14:paraId="5E8C1BE8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kern w:val="0"/>
                <w:sz w:val="24"/>
                <w:szCs w:val="24"/>
                <w:lang w:val="en-US" w:eastAsia="zh-CN"/>
              </w:rPr>
              <w:t>电视</w:t>
            </w:r>
            <w:r>
              <w:rPr>
                <w:rFonts w:ascii="方正仿宋_GBK" w:hAnsi="方正仿宋_GBK" w:eastAsia="方正仿宋_GBK" w:cs="方正仿宋_GBK"/>
                <w:spacing w:val="-7"/>
                <w:kern w:val="0"/>
                <w:sz w:val="24"/>
                <w:szCs w:val="24"/>
              </w:rPr>
              <w:t>消息</w:t>
            </w:r>
          </w:p>
        </w:tc>
      </w:tr>
      <w:tr w14:paraId="678F20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6EE4CEBE">
            <w:pPr>
              <w:spacing w:line="329" w:lineRule="auto"/>
              <w:rPr>
                <w:rFonts w:ascii="Arial"/>
                <w:sz w:val="21"/>
              </w:rPr>
            </w:pPr>
          </w:p>
          <w:p w14:paraId="4074F148">
            <w:pPr>
              <w:spacing w:line="330" w:lineRule="auto"/>
              <w:rPr>
                <w:rFonts w:ascii="Arial"/>
                <w:sz w:val="21"/>
              </w:rPr>
            </w:pPr>
          </w:p>
          <w:p w14:paraId="29C81DCC">
            <w:pPr>
              <w:pStyle w:val="7"/>
              <w:spacing w:before="105"/>
              <w:ind w:left="329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7BF3E355">
            <w:pPr>
              <w:spacing w:before="32" w:line="202" w:lineRule="auto"/>
              <w:ind w:left="105" w:right="25" w:firstLine="19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00:03:00</w:t>
            </w:r>
          </w:p>
        </w:tc>
        <w:tc>
          <w:tcPr>
            <w:tcW w:w="1684" w:type="dxa"/>
            <w:gridSpan w:val="2"/>
            <w:vAlign w:val="top"/>
          </w:tcPr>
          <w:p w14:paraId="2AE87A76">
            <w:pPr>
              <w:spacing w:line="315" w:lineRule="auto"/>
              <w:rPr>
                <w:rFonts w:ascii="Arial"/>
                <w:sz w:val="21"/>
              </w:rPr>
            </w:pPr>
          </w:p>
          <w:p w14:paraId="43450420">
            <w:pPr>
              <w:pStyle w:val="7"/>
              <w:spacing w:before="105" w:line="239" w:lineRule="auto"/>
              <w:ind w:left="572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top"/>
          </w:tcPr>
          <w:p w14:paraId="47C2B53A">
            <w:pPr>
              <w:spacing w:before="299" w:line="203" w:lineRule="auto"/>
              <w:ind w:left="169" w:leftChars="0" w:right="107" w:rightChars="0" w:hanging="31" w:firstLineChars="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1FA61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4C003AAD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7BC86BAF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2039D92A">
            <w:pPr>
              <w:pStyle w:val="7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center"/>
          </w:tcPr>
          <w:p w14:paraId="7C936A9B">
            <w:pPr>
              <w:jc w:val="both"/>
              <w:rPr>
                <w:rFonts w:ascii="Arial"/>
                <w:sz w:val="21"/>
              </w:rPr>
            </w:pPr>
          </w:p>
        </w:tc>
      </w:tr>
      <w:tr w14:paraId="79563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top"/>
          </w:tcPr>
          <w:p w14:paraId="3DD5D0F8">
            <w:pPr>
              <w:pStyle w:val="7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者</w:t>
            </w:r>
          </w:p>
          <w:p w14:paraId="0503477A">
            <w:pPr>
              <w:pStyle w:val="7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center"/>
          </w:tcPr>
          <w:p w14:paraId="6DB4E84A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 xml:space="preserve">罗维 </w:t>
            </w:r>
          </w:p>
        </w:tc>
        <w:tc>
          <w:tcPr>
            <w:tcW w:w="1134" w:type="dxa"/>
            <w:gridSpan w:val="2"/>
            <w:vAlign w:val="top"/>
          </w:tcPr>
          <w:p w14:paraId="588EC2D6">
            <w:pPr>
              <w:pStyle w:val="7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center"/>
          </w:tcPr>
          <w:p w14:paraId="0222C0E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李江龙、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杨蓉、唐佩璐</w:t>
            </w:r>
          </w:p>
        </w:tc>
      </w:tr>
      <w:tr w14:paraId="7A956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top"/>
          </w:tcPr>
          <w:p w14:paraId="2B54A39D">
            <w:pPr>
              <w:spacing w:line="329" w:lineRule="auto"/>
              <w:rPr>
                <w:rFonts w:ascii="Arial"/>
                <w:sz w:val="21"/>
              </w:rPr>
            </w:pPr>
          </w:p>
          <w:p w14:paraId="4A27464E">
            <w:pPr>
              <w:pStyle w:val="7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center"/>
          </w:tcPr>
          <w:p w14:paraId="553EC485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重庆市大渡口区融媒体中心</w:t>
            </w:r>
          </w:p>
        </w:tc>
        <w:tc>
          <w:tcPr>
            <w:tcW w:w="1134" w:type="dxa"/>
            <w:gridSpan w:val="2"/>
            <w:vAlign w:val="top"/>
          </w:tcPr>
          <w:p w14:paraId="5E600FC5">
            <w:pPr>
              <w:pStyle w:val="7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1579F01A">
            <w:pPr>
              <w:pStyle w:val="7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3EF07003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Arial"/>
                <w:sz w:val="21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大渡口之声</w:t>
            </w:r>
          </w:p>
        </w:tc>
      </w:tr>
      <w:tr w14:paraId="7D899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top"/>
          </w:tcPr>
          <w:p w14:paraId="24B5A7C7">
            <w:pPr>
              <w:pStyle w:val="7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0F2E3CB0">
            <w:pPr>
              <w:pStyle w:val="7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566A6521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大渡口新闻</w:t>
            </w:r>
          </w:p>
        </w:tc>
        <w:tc>
          <w:tcPr>
            <w:tcW w:w="1134" w:type="dxa"/>
            <w:gridSpan w:val="2"/>
            <w:vAlign w:val="top"/>
          </w:tcPr>
          <w:p w14:paraId="460F3D0E">
            <w:pPr>
              <w:pStyle w:val="7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center"/>
          </w:tcPr>
          <w:p w14:paraId="31F51D6D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2024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Times New Roman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分</w:t>
            </w:r>
          </w:p>
        </w:tc>
      </w:tr>
      <w:tr w14:paraId="587E2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6986742">
            <w:pPr>
              <w:pStyle w:val="7"/>
              <w:spacing w:before="285" w:line="243" w:lineRule="auto"/>
              <w:ind w:left="117" w:right="109" w:hanging="1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新媒体作品填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6DBFB470">
            <w:pPr>
              <w:spacing w:before="2" w:line="184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top"/>
          </w:tcPr>
          <w:p w14:paraId="2CBDC6C6">
            <w:pPr>
              <w:pStyle w:val="7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6EC6E4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43FB67FF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6E255156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top"/>
          </w:tcPr>
          <w:p w14:paraId="04B97EA7">
            <w:pPr>
              <w:pStyle w:val="7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1E70A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  <w:vAlign w:val="top"/>
          </w:tcPr>
          <w:p w14:paraId="49DBD699">
            <w:pPr>
              <w:pStyle w:val="7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601B3A58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/>
              </w:rPr>
              <w:t>2021年6月1日，王红旭老师为救落水儿童不幸牺牲，被追授“时代楷模”。为了传承他的英勇精神，减少长江溺亡事故的发生，大渡口区一群热心公益的群众自发成立了红旭水上救援队。在2024年连日持续高温的日子里，江边成为市民纳凉嬉戏的好去处，但随之而来的安全问题也愈发凸显。大渡口红旭救援队的志愿者们以实际行动守护着江边的安全。谢斌，作为红旭救援队的一员，在一次紧急时刻，凭借专业的救生技能和迅速的反应能力，在一分钟内成功救回熊先生和他的五岁女儿两条生命。当时水流湍急，速度达到每秒2米左右，即便如此，谢斌依然毫不犹豫地跳入江中，将孩子抱起，并与队友吴仕迁合力将熊先生父女救上岸。这一事件充分展现了红旭救援队的专业素养和无私奉献精神。值得一提的是，这支救援队是以王红旭老师为榜样成立的。王红旭老师曾用百米冲刺的速度冲到江中救人，最终英勇牺牲。如今，冬泳队员们继承了他的精神，成立了红旭救援队，日复一日地在江边坚守，延续着这份爱与责任。</w:t>
            </w:r>
          </w:p>
        </w:tc>
      </w:tr>
      <w:tr w14:paraId="10F1AC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29" w:type="dxa"/>
            <w:vAlign w:val="top"/>
          </w:tcPr>
          <w:p w14:paraId="558B8AEA">
            <w:pPr>
              <w:pStyle w:val="7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7BECB831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救援队联合消防、水警坚持每日义务巡逻，不仅极大地保障了江边市民的生命安全，还深刻影响了社会对公共安全和志愿服务的认知。他们的行动让越来越多的人开始关注江边安全问题，积极参与志愿服务。救援队的存在，不仅是对王红旭老师精神的传承，更是对社会的一种积极引导。</w:t>
            </w:r>
          </w:p>
          <w:p w14:paraId="0A7CAE65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1．推动防溺水机制建设</w:t>
            </w:r>
          </w:p>
          <w:p w14:paraId="19C15B45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红旭救援队的义举，推动了政府和社会各界对防溺水工作的重视。九宫庙街道及大渡口区城运公司为救援队提供了专属场地，并协助建立了基层智治河道管控平台。此外，救援队还联合九龙水警派出所、区消防支队等单位开展了多次防溺水知识培训和应急演练。这些措施有效填补了防溺水工作中的空白，形成了多方协作的良好局面。</w:t>
            </w:r>
          </w:p>
          <w:p w14:paraId="184430AA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2．树立榜样力量</w:t>
            </w:r>
          </w:p>
          <w:p w14:paraId="69FEA10E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据统计，救援队现有正式队员53人，其中32人持有急救证，8人能熟练驾驶橡皮艇参与水域救援。他们的专业素养和无私奉献精神感染了无数市民，已成为重庆市的一张闪亮名片，获得国家级优秀志愿者团队殊荣。</w:t>
            </w:r>
          </w:p>
          <w:p w14:paraId="557B73AC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3．数据彰显成效</w:t>
            </w:r>
          </w:p>
          <w:p w14:paraId="08D52434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从2021年王红旭救人去世后救援队成立到2024年，长江大渡口水域实现了“零”溺亡目标，累计救援游泳体力不支或不慎落水者76人，协助水警打捞上游溺亡尸体2具。数据充分证明了救援队工作的有效性，也为其他地区提供了可借鉴的经验。</w:t>
            </w:r>
          </w:p>
        </w:tc>
      </w:tr>
      <w:tr w14:paraId="0D43A3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F696611">
            <w:pPr>
              <w:spacing w:line="298" w:lineRule="auto"/>
              <w:rPr>
                <w:rFonts w:ascii="Arial"/>
                <w:sz w:val="21"/>
              </w:rPr>
            </w:pPr>
          </w:p>
          <w:p w14:paraId="541A149B">
            <w:pPr>
              <w:spacing w:line="299" w:lineRule="auto"/>
              <w:rPr>
                <w:rFonts w:ascii="Arial"/>
                <w:sz w:val="21"/>
              </w:rPr>
            </w:pPr>
          </w:p>
          <w:p w14:paraId="4A413E72">
            <w:pPr>
              <w:spacing w:line="299" w:lineRule="auto"/>
              <w:rPr>
                <w:rFonts w:ascii="Arial"/>
                <w:sz w:val="21"/>
              </w:rPr>
            </w:pPr>
          </w:p>
          <w:p w14:paraId="317F85FB">
            <w:pPr>
              <w:pStyle w:val="7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5C9D49A3">
            <w:pPr>
              <w:spacing w:line="314" w:lineRule="auto"/>
              <w:rPr>
                <w:rFonts w:ascii="Arial"/>
                <w:sz w:val="21"/>
              </w:rPr>
            </w:pPr>
          </w:p>
          <w:p w14:paraId="5F03CF51">
            <w:pPr>
              <w:spacing w:line="315" w:lineRule="auto"/>
              <w:rPr>
                <w:rFonts w:ascii="Arial"/>
                <w:sz w:val="21"/>
              </w:rPr>
            </w:pPr>
          </w:p>
          <w:p w14:paraId="503A51A4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1ECE146E">
            <w:pPr>
              <w:spacing w:before="98" w:line="223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2"/>
                <w:szCs w:val="22"/>
              </w:rPr>
              <w:t>https://h5.cqliving.com/info/detail/5000215025.html?cid=5000215025&amp;vfrom=cms</w:t>
            </w:r>
          </w:p>
        </w:tc>
      </w:tr>
      <w:tr w14:paraId="7A4195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081C4D3B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44F02B4E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0B99FD54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</w:p>
        </w:tc>
      </w:tr>
      <w:tr w14:paraId="587BDE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19E88C84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3A40DA7B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2567C53F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33B10C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26D6EBB3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CF0E6B4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38AF04D7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center"/>
          </w:tcPr>
          <w:p w14:paraId="7CF557E9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84" w:type="dxa"/>
            <w:gridSpan w:val="2"/>
            <w:vAlign w:val="top"/>
          </w:tcPr>
          <w:p w14:paraId="6EDE7A9E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top"/>
          </w:tcPr>
          <w:p w14:paraId="421FCAE2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776245C8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top"/>
          </w:tcPr>
          <w:p w14:paraId="6B518B25">
            <w:pPr>
              <w:rPr>
                <w:rFonts w:ascii="Arial"/>
                <w:sz w:val="21"/>
              </w:rPr>
            </w:pPr>
          </w:p>
        </w:tc>
      </w:tr>
      <w:tr w14:paraId="7B3DD4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top"/>
          </w:tcPr>
          <w:p w14:paraId="76D1988C">
            <w:pPr>
              <w:spacing w:line="241" w:lineRule="auto"/>
              <w:rPr>
                <w:rFonts w:ascii="Arial"/>
                <w:sz w:val="21"/>
              </w:rPr>
            </w:pPr>
          </w:p>
          <w:p w14:paraId="7DDBFA08">
            <w:pPr>
              <w:pStyle w:val="7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72CA243F"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firstLine="420"/>
              <w:jc w:val="both"/>
              <w:textAlignment w:val="auto"/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王红旭用百米冲刺的速度冲到江中救人，红旭救援队用日复一日在江边坚守将爱延续！作品生动展现了红旭救援队队员在危急时刻挺身而出，用实际行动诠释了“生命至上”的理念，传递了社会正能量。报道生动展现了红旭救援队的英勇事迹和无私奉献精神。首先，作品通过详实的采访和现场同期声，还原了谢斌等人在危急时刻挺身而出的全过程，让观众能够深切感受到当时的紧张氛围和救援队员们的勇敢无畏。其次，作品深入挖掘了红旭救援队成立的背景和意义，将王红旭老师的英勇牺牲与救援队的日复一日坚守相联系，彰显了英雄精神的传承和延续。这种精神的力量，不仅激励了救援队成员，也感染了整个社会。再次，作品通过对社会效果的详细阐</w:t>
            </w:r>
            <w:bookmarkStart w:id="0" w:name="_GoBack"/>
            <w:bookmarkEnd w:id="0"/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述，展示了红旭救援队在保障江边安全、弘扬正能量方面的突出贡献。这些贡献不仅仅体现在具体救人的数量上，更在于他们对社会价值观的积极影响。红旭救援队的故事已经超越了地域限制，成为全国范围内学习的典范。救援队的专业技能、团队协作精神以及无私奉献的态度，为其他志愿组织提供了宝贵的经验。这篇新闻作品通过详实的报道和深刻的分析，进一步放大了这种示范效应，为构建和谐社会作出了重要贡献。</w:t>
            </w:r>
          </w:p>
          <w:p w14:paraId="7F57A270">
            <w:pPr>
              <w:spacing w:line="231" w:lineRule="auto"/>
              <w:ind w:right="38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签名：（盖单位公章）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日</w:t>
            </w:r>
          </w:p>
        </w:tc>
      </w:tr>
      <w:tr w14:paraId="7072B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4F964A">
            <w:pPr>
              <w:pStyle w:val="7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769E0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en-US" w:bidi="ar-SA"/>
              </w:rPr>
              <w:t>罗维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84BD10">
            <w:pPr>
              <w:pStyle w:val="7"/>
              <w:spacing w:before="136" w:line="239" w:lineRule="auto"/>
              <w:ind w:left="148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727A0B6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592AD6CD">
            <w:pPr>
              <w:pStyle w:val="7"/>
              <w:spacing w:before="136" w:line="239" w:lineRule="auto"/>
              <w:ind w:left="137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43ABE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13883616815</w:t>
            </w:r>
          </w:p>
        </w:tc>
      </w:tr>
      <w:tr w14:paraId="4B09D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BC31C0">
            <w:pPr>
              <w:pStyle w:val="7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7B5F0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重庆市大渡口区文体路122号富士达大厦4楼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0E58E1F">
            <w:pPr>
              <w:pStyle w:val="7"/>
              <w:spacing w:before="70" w:line="206" w:lineRule="auto"/>
              <w:ind w:left="146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6740FF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89734179@qq.com</w:t>
            </w:r>
          </w:p>
        </w:tc>
      </w:tr>
    </w:tbl>
    <w:p w14:paraId="08EBA95E">
      <w:pPr>
        <w:rPr>
          <w:vanish/>
          <w:sz w:val="21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07925">
    <w:pPr>
      <w:spacing w:line="235" w:lineRule="auto"/>
      <w:ind w:left="58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17F2">
    <w:pPr>
      <w:spacing w:before="66" w:line="215" w:lineRule="auto"/>
      <w:ind w:left="607"/>
      <w:rPr>
        <w:rFonts w:ascii="Times New Roman" w:hAnsi="Times New Roman" w:eastAsia="Times New Roman" w:cs="Times New Roman"/>
        <w:sz w:val="31"/>
        <w:szCs w:val="3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279ED"/>
    <w:rsid w:val="077D67DF"/>
    <w:rsid w:val="0E602B86"/>
    <w:rsid w:val="15B65540"/>
    <w:rsid w:val="1B8432EE"/>
    <w:rsid w:val="285D3911"/>
    <w:rsid w:val="2B7C63D9"/>
    <w:rsid w:val="2E3777AC"/>
    <w:rsid w:val="2E711853"/>
    <w:rsid w:val="566279ED"/>
    <w:rsid w:val="689E54FB"/>
    <w:rsid w:val="6ECE6006"/>
    <w:rsid w:val="71BE2115"/>
    <w:rsid w:val="721B1CD4"/>
    <w:rsid w:val="728511F0"/>
    <w:rsid w:val="76AD2BC7"/>
    <w:rsid w:val="777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character" w:styleId="6">
    <w:name w:val="Strong"/>
    <w:basedOn w:val="5"/>
    <w:qFormat/>
    <w:uiPriority w:val="22"/>
    <w:rPr>
      <w:b/>
      <w:bCs/>
    </w:rPr>
  </w:style>
  <w:style w:type="paragraph" w:customStyle="1" w:styleId="7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1656</Words>
  <Characters>1793</Characters>
  <Lines>0</Lines>
  <Paragraphs>0</Paragraphs>
  <TotalTime>0</TotalTime>
  <ScaleCrop>false</ScaleCrop>
  <LinksUpToDate>false</LinksUpToDate>
  <CharactersWithSpaces>1820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2025-03-24T09:03:00Z</dcterms:created>
  <dc:creator>泠玲铃</dc:creator>
  <cp:lastModifiedBy>泠玲铃</cp:lastModifiedBy>
  <cp:lastPrinted>2025-03-25T10:32:00Z</cp:lastPrinted>
  <dcterms:modified xsi:type="dcterms:W3CDTF">2025-03-27T01:34:42Z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B9EF02C0EF8D4C9EBE4D5142D491D7E1_13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